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3885"/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200"/>
        <w:gridCol w:w="1200"/>
        <w:gridCol w:w="2100"/>
        <w:gridCol w:w="1200"/>
        <w:gridCol w:w="1200"/>
        <w:gridCol w:w="2680"/>
        <w:gridCol w:w="2060"/>
      </w:tblGrid>
      <w:tr w:rsidR="0070065A" w:rsidRPr="0070065A" w14:paraId="21301B25" w14:textId="77777777" w:rsidTr="00BD286A">
        <w:trPr>
          <w:trHeight w:val="300"/>
        </w:trPr>
        <w:tc>
          <w:tcPr>
            <w:tcW w:w="37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8D06BED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Dépenses de personnel</w:t>
            </w: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br/>
            </w:r>
            <w:r w:rsidRPr="0070065A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Les dépenses de personnel sont définies dans règles générales de l'ADEME</w:t>
            </w:r>
          </w:p>
        </w:tc>
        <w:tc>
          <w:tcPr>
            <w:tcW w:w="45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0EC91321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Actions d'animation</w:t>
            </w:r>
          </w:p>
        </w:tc>
        <w:tc>
          <w:tcPr>
            <w:tcW w:w="50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52EF9D06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Actions de formation - Communication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4D67C652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 total opération</w:t>
            </w:r>
          </w:p>
        </w:tc>
      </w:tr>
      <w:tr w:rsidR="00BD286A" w:rsidRPr="0070065A" w14:paraId="0E1048DF" w14:textId="77777777" w:rsidTr="00BD286A">
        <w:trPr>
          <w:trHeight w:val="560"/>
        </w:trPr>
        <w:tc>
          <w:tcPr>
            <w:tcW w:w="37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8E2EBC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vAlign w:val="center"/>
            <w:hideMark/>
          </w:tcPr>
          <w:p w14:paraId="62A3C965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Nombre de jours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4072257F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€ / jour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6155200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vAlign w:val="center"/>
            <w:hideMark/>
          </w:tcPr>
          <w:p w14:paraId="2AF7B42D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Nombre de jours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BC7E4A8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€ / jour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E9BF7B8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07B1CE6" w14:textId="77777777" w:rsidR="0070065A" w:rsidRPr="0070065A" w:rsidRDefault="0070065A" w:rsidP="00BD286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</w:t>
            </w:r>
          </w:p>
        </w:tc>
      </w:tr>
      <w:tr w:rsidR="0070065A" w:rsidRPr="0070065A" w14:paraId="1C9A987C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1C8580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DE5A853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E77349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911B6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8991938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4694DFB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13CB2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E26071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77241066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1D880D2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9D2E5D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AC80BCC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96EC4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89B575B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A73052A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A048F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DB5CB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08BAC27E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D960939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FECA66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4B876F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8A863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E20C2E5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9E1985F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F2B70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220A2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60C54E9C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FC414DD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061723A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567CBFF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9E6EF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8ED0484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7D2FD70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1A872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819DE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7B45BA9B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C65A558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284DF4F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E77B85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77E87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8EDDF3A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8999A47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03FFB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33DC6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3DD64013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D14B8E1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F057138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ED5573E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0E6EE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127E040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1D2BC08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4755E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777A8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1D12BB28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F64DCC9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B76FA97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E78381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C9DE7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0126EB4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E2DA351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F2F8C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FCE86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7867BA77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2A2A427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48055F7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A6ED0DB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F1927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D84E4D5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E4B7601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AC7CC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FC93C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369C56F2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E6965DD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C7598CA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6735E7D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CCAD6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6FE3D18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27ABB41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6E7812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0FAA4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4EE266F2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6C05503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B8A186D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BD7DA40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C9C1E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45E270E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B0D1D19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24030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5783C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70065A" w:rsidRPr="0070065A" w14:paraId="3D43AF5C" w14:textId="77777777" w:rsidTr="00BD286A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E9420E3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Catégorie et niveau de qualification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3BE8F89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0956A43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A70F8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46CB1D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8EF2D1D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2B197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3B1AB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BD286A" w:rsidRPr="0070065A" w14:paraId="1E82C4D3" w14:textId="77777777" w:rsidTr="00BD286A">
        <w:trPr>
          <w:trHeight w:val="290"/>
        </w:trPr>
        <w:tc>
          <w:tcPr>
            <w:tcW w:w="3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AB25C6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Total des dépenses de personnel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8D51678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1CB9E88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B8DB64D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977B37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C5EE59E" w14:textId="77777777" w:rsidR="0070065A" w:rsidRPr="0070065A" w:rsidRDefault="0070065A" w:rsidP="00BD286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9BA2F5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0C77290" w14:textId="77777777" w:rsidR="0070065A" w:rsidRPr="0070065A" w:rsidRDefault="0070065A" w:rsidP="00BD286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70065A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</w:tbl>
    <w:p w14:paraId="67BDAB84" w14:textId="77777777" w:rsidR="00BD286A" w:rsidRDefault="00BD286A">
      <w:pPr>
        <w:rPr>
          <w:sz w:val="20"/>
          <w:szCs w:val="20"/>
        </w:rPr>
      </w:pPr>
    </w:p>
    <w:p w14:paraId="3B4B8F13" w14:textId="77777777" w:rsidR="00F74F81" w:rsidRDefault="00F74F81">
      <w:pPr>
        <w:rPr>
          <w:sz w:val="20"/>
          <w:szCs w:val="20"/>
        </w:rPr>
      </w:pPr>
    </w:p>
    <w:p w14:paraId="5F38505B" w14:textId="1561CB7A" w:rsidR="00BD286A" w:rsidRDefault="00BD286A" w:rsidP="00BD286A">
      <w:pPr>
        <w:ind w:left="1416" w:firstLine="708"/>
        <w:rPr>
          <w:b/>
          <w:bCs/>
          <w:sz w:val="24"/>
          <w:szCs w:val="24"/>
        </w:rPr>
      </w:pPr>
      <w:r w:rsidRPr="00BD286A">
        <w:rPr>
          <w:b/>
          <w:bCs/>
          <w:sz w:val="24"/>
          <w:szCs w:val="24"/>
        </w:rPr>
        <w:t>ANNEXE FINANCIERE – AMI ANIMATION DISPOSITIF REP GUADELOUPE ET SAINT-MARTIN</w:t>
      </w:r>
    </w:p>
    <w:p w14:paraId="004A764D" w14:textId="77777777" w:rsidR="00BD286A" w:rsidRPr="00BD286A" w:rsidRDefault="00BD286A" w:rsidP="00BD286A">
      <w:pPr>
        <w:rPr>
          <w:sz w:val="24"/>
          <w:szCs w:val="24"/>
        </w:rPr>
      </w:pPr>
    </w:p>
    <w:p w14:paraId="0AF4E762" w14:textId="6B3CD623" w:rsidR="00BD286A" w:rsidRDefault="00BD286A" w:rsidP="00BD286A">
      <w:pPr>
        <w:tabs>
          <w:tab w:val="left" w:pos="1373"/>
        </w:tabs>
        <w:rPr>
          <w:sz w:val="24"/>
          <w:szCs w:val="24"/>
        </w:rPr>
      </w:pPr>
      <w:r>
        <w:rPr>
          <w:sz w:val="24"/>
          <w:szCs w:val="24"/>
        </w:rPr>
        <w:t>Cette annexe financière doit être remplie par le candidat</w:t>
      </w:r>
      <w:r w:rsidR="00F74F81">
        <w:rPr>
          <w:sz w:val="24"/>
          <w:szCs w:val="24"/>
        </w:rPr>
        <w:t xml:space="preserve"> et déposée sur la plateforme de dépôt de l’AMI. Elle permet de </w:t>
      </w:r>
      <w:r w:rsidR="00E9607F">
        <w:rPr>
          <w:sz w:val="24"/>
          <w:szCs w:val="24"/>
        </w:rPr>
        <w:t xml:space="preserve">mettre en </w:t>
      </w:r>
      <w:r w:rsidR="00F74F81">
        <w:rPr>
          <w:sz w:val="24"/>
          <w:szCs w:val="24"/>
        </w:rPr>
        <w:t>avant les dépenses prévues</w:t>
      </w:r>
      <w:r w:rsidR="00E9607F">
        <w:rPr>
          <w:sz w:val="24"/>
          <w:szCs w:val="24"/>
        </w:rPr>
        <w:t xml:space="preserve"> par le candidat</w:t>
      </w:r>
      <w:r w:rsidR="00F74F81">
        <w:rPr>
          <w:sz w:val="24"/>
          <w:szCs w:val="24"/>
        </w:rPr>
        <w:t>, en fonction des différentes catégories de dépenses</w:t>
      </w:r>
      <w:r w:rsidR="00E9607F">
        <w:rPr>
          <w:sz w:val="24"/>
          <w:szCs w:val="24"/>
        </w:rPr>
        <w:t xml:space="preserve"> éligibles</w:t>
      </w:r>
      <w:r w:rsidR="00F74F81">
        <w:rPr>
          <w:sz w:val="24"/>
          <w:szCs w:val="24"/>
        </w:rPr>
        <w:t xml:space="preserve">. Les lignes du tableau non utilisées peuvent être supprimées. </w:t>
      </w:r>
    </w:p>
    <w:p w14:paraId="6D544B1A" w14:textId="77777777" w:rsidR="00F74F81" w:rsidRDefault="00F74F81" w:rsidP="00BD286A">
      <w:pPr>
        <w:tabs>
          <w:tab w:val="left" w:pos="1373"/>
        </w:tabs>
        <w:rPr>
          <w:sz w:val="24"/>
          <w:szCs w:val="24"/>
        </w:rPr>
      </w:pPr>
    </w:p>
    <w:p w14:paraId="36D898A7" w14:textId="313DB489" w:rsidR="00F74F81" w:rsidRPr="00F74F81" w:rsidRDefault="00F74F81" w:rsidP="00F74F81">
      <w:pPr>
        <w:rPr>
          <w:b/>
          <w:bCs/>
          <w:sz w:val="24"/>
          <w:szCs w:val="24"/>
          <w:u w:val="single"/>
        </w:rPr>
      </w:pPr>
      <w:r w:rsidRPr="00F74F81">
        <w:rPr>
          <w:b/>
          <w:bCs/>
          <w:sz w:val="24"/>
          <w:szCs w:val="24"/>
          <w:u w:val="single"/>
        </w:rPr>
        <w:t>Dépenses de personnel :</w:t>
      </w:r>
    </w:p>
    <w:tbl>
      <w:tblPr>
        <w:tblpPr w:leftFromText="141" w:rightFromText="141" w:horzAnchor="margin" w:tblpXSpec="center" w:tblpY="1306"/>
        <w:tblW w:w="15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3"/>
        <w:gridCol w:w="1032"/>
        <w:gridCol w:w="1032"/>
        <w:gridCol w:w="1809"/>
        <w:gridCol w:w="1032"/>
        <w:gridCol w:w="1032"/>
        <w:gridCol w:w="2309"/>
        <w:gridCol w:w="1773"/>
      </w:tblGrid>
      <w:tr w:rsidR="00F74F81" w14:paraId="23C1E4DB" w14:textId="77777777" w:rsidTr="00F74F81">
        <w:trPr>
          <w:trHeight w:val="255"/>
        </w:trPr>
        <w:tc>
          <w:tcPr>
            <w:tcW w:w="54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36256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>Autres dépenses de fonctionnement HTR</w:t>
            </w:r>
            <w:r>
              <w:rPr>
                <w:rFonts w:cs="Arial"/>
                <w:color w:val="000000"/>
              </w:rPr>
              <w:br/>
            </w:r>
            <w:proofErr w:type="spellStart"/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HTR</w:t>
            </w:r>
            <w:proofErr w:type="spellEnd"/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 = Hors taxes Récupérables auprès du Trésor Public ou du Fonds de compensation de la Taxe sur la Valeur Ajoutée</w:t>
            </w:r>
          </w:p>
        </w:tc>
        <w:tc>
          <w:tcPr>
            <w:tcW w:w="387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06DEF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Actions d'animation</w:t>
            </w:r>
          </w:p>
        </w:tc>
        <w:tc>
          <w:tcPr>
            <w:tcW w:w="437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64ADC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Actions de formation - Communication</w:t>
            </w:r>
          </w:p>
        </w:tc>
        <w:tc>
          <w:tcPr>
            <w:tcW w:w="17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29603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Coût total opération</w:t>
            </w:r>
          </w:p>
        </w:tc>
      </w:tr>
      <w:tr w:rsidR="00F74F81" w14:paraId="024E8146" w14:textId="77777777" w:rsidTr="00F74F81">
        <w:trPr>
          <w:trHeight w:val="476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757162" w14:textId="77777777" w:rsidR="00F74F81" w:rsidRDefault="00F74F81" w:rsidP="00F74F81">
            <w:pPr>
              <w:rPr>
                <w:rFonts w:cs="Arial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BB5EA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E8868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3D2AC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Coûts liés à l'opération HTR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608F7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2EEEF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4FC66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Coûts liés à l'opération HTR</w:t>
            </w:r>
          </w:p>
        </w:tc>
        <w:tc>
          <w:tcPr>
            <w:tcW w:w="177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3AA06" w14:textId="77777777" w:rsidR="00F74F81" w:rsidRDefault="00F74F81" w:rsidP="00F74F8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Coûts liés à l'opération HTR</w:t>
            </w:r>
          </w:p>
        </w:tc>
      </w:tr>
      <w:tr w:rsidR="00F74F81" w14:paraId="55EA3BC8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20CC9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Dépenses d'animation et de communication évènementielle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130E5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DA2AB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68664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E5F01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F777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5E7DF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D03DE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347AC2A5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44339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outils de communication non liés à un évènement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393D6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B4014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5EFB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B39D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7DE6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CE134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8470E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61D81B7F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A169F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Certification des dépenses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2B412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D601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8B86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84C86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C6E1F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9730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DBBBD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1377C22E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3CF2C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dépenses directes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FA46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C51A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34233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F6A81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5B7C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6EEE8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80FEC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59D99736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11255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dépenses directes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94CDA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61858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0B6F2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726A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19142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E4F3F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2D531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13DAE7A1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AC75D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dépenses directes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EFEF8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8552B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85419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F182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D63A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6052B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11F4F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45DE99F2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4BB5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dépenses directes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4E19B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FFD0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BE4C3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41596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CE1FF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6F0EB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535D2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3674730D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4BEE5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dépenses directes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C12D6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B65B3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94238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E2F0B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F8486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BE61D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7D3C7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185C449A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E9A02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dépenses directes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701DD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F4B88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18EDB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210F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CB45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CFE98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FCF9B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7B6239CE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092E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dépenses directes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F676D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FA872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E142D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8D85E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155B4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1C624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B0E59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38AFD6EB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08D0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Autres dépenses directes de 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3DE189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228E0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6FDA2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E4AC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D9CDD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77FDC" w14:textId="77777777" w:rsidR="00F74F81" w:rsidRDefault="00F74F81" w:rsidP="00F74F8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0EFE3" w14:textId="77777777" w:rsidR="00F74F81" w:rsidRDefault="00F74F81" w:rsidP="00F74F8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0,00 €</w:t>
            </w:r>
          </w:p>
        </w:tc>
      </w:tr>
      <w:tr w:rsidR="00F74F81" w14:paraId="7BAC05EF" w14:textId="77777777" w:rsidTr="00F74F81">
        <w:trPr>
          <w:trHeight w:val="246"/>
        </w:trPr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4CE16" w14:textId="77777777" w:rsidR="00F74F81" w:rsidRDefault="00F74F81" w:rsidP="00F74F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Total des autres dépenses de fonctionnement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2FE3B" w14:textId="77777777" w:rsidR="00F74F81" w:rsidRDefault="00F74F81" w:rsidP="00F74F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FE7E9" w14:textId="77777777" w:rsidR="00F74F81" w:rsidRDefault="00F74F81" w:rsidP="00F74F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0C49D" w14:textId="77777777" w:rsidR="00F74F81" w:rsidRDefault="00F74F81" w:rsidP="00F74F81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39553" w14:textId="77777777" w:rsidR="00F74F81" w:rsidRDefault="00F74F81" w:rsidP="00F74F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6646" w14:textId="77777777" w:rsidR="00F74F81" w:rsidRDefault="00F74F81" w:rsidP="00F74F81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4C17" w14:textId="77777777" w:rsidR="00F74F81" w:rsidRDefault="00F74F81" w:rsidP="00F74F81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0,00 €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80531" w14:textId="77777777" w:rsidR="00F74F81" w:rsidRDefault="00F74F81" w:rsidP="00F74F81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0,00 €</w:t>
            </w:r>
          </w:p>
        </w:tc>
      </w:tr>
    </w:tbl>
    <w:p w14:paraId="4C1B1C9A" w14:textId="53844A9B" w:rsidR="00F74F81" w:rsidRPr="00F74F81" w:rsidRDefault="00F74F81" w:rsidP="00F74F81">
      <w:pPr>
        <w:rPr>
          <w:b/>
          <w:bCs/>
          <w:sz w:val="20"/>
          <w:szCs w:val="20"/>
          <w:u w:val="single"/>
        </w:rPr>
      </w:pPr>
      <w:r w:rsidRPr="00F74F81">
        <w:rPr>
          <w:b/>
          <w:bCs/>
          <w:sz w:val="20"/>
          <w:szCs w:val="20"/>
          <w:u w:val="single"/>
        </w:rPr>
        <w:t xml:space="preserve"> Autres dépenses de fonctionnement : </w:t>
      </w:r>
    </w:p>
    <w:p w14:paraId="73DCB6E4" w14:textId="2A58DDFC" w:rsidR="00F74F81" w:rsidRDefault="00F74F81" w:rsidP="00F74F81">
      <w:pPr>
        <w:tabs>
          <w:tab w:val="left" w:pos="356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C9EA271" w14:textId="77777777" w:rsidR="00F74F81" w:rsidRDefault="00F74F81" w:rsidP="00F74F81">
      <w:pPr>
        <w:tabs>
          <w:tab w:val="left" w:pos="3567"/>
        </w:tabs>
        <w:rPr>
          <w:sz w:val="20"/>
          <w:szCs w:val="20"/>
        </w:rPr>
      </w:pPr>
    </w:p>
    <w:p w14:paraId="72AD0F75" w14:textId="77777777" w:rsidR="00F74F81" w:rsidRDefault="00F74F81" w:rsidP="00F74F81">
      <w:pPr>
        <w:tabs>
          <w:tab w:val="left" w:pos="3567"/>
        </w:tabs>
        <w:rPr>
          <w:sz w:val="20"/>
          <w:szCs w:val="20"/>
        </w:rPr>
      </w:pPr>
    </w:p>
    <w:p w14:paraId="7AC812EB" w14:textId="77777777" w:rsidR="00F74F81" w:rsidRDefault="00F74F81" w:rsidP="00F74F81">
      <w:pPr>
        <w:tabs>
          <w:tab w:val="left" w:pos="3567"/>
        </w:tabs>
        <w:rPr>
          <w:sz w:val="20"/>
          <w:szCs w:val="20"/>
        </w:rPr>
      </w:pPr>
    </w:p>
    <w:p w14:paraId="2A76A116" w14:textId="01EAAC33" w:rsidR="00F74F81" w:rsidRPr="00F74F81" w:rsidRDefault="00F74F81" w:rsidP="00F74F81">
      <w:pPr>
        <w:tabs>
          <w:tab w:val="left" w:pos="3567"/>
        </w:tabs>
        <w:rPr>
          <w:b/>
          <w:bCs/>
          <w:sz w:val="20"/>
          <w:szCs w:val="20"/>
          <w:u w:val="single"/>
        </w:rPr>
      </w:pPr>
      <w:r w:rsidRPr="00F74F81">
        <w:rPr>
          <w:b/>
          <w:bCs/>
          <w:sz w:val="20"/>
          <w:szCs w:val="20"/>
          <w:u w:val="single"/>
        </w:rPr>
        <w:lastRenderedPageBreak/>
        <w:t xml:space="preserve">Dépenses d’équipements : </w:t>
      </w:r>
    </w:p>
    <w:tbl>
      <w:tblPr>
        <w:tblpPr w:leftFromText="141" w:rightFromText="141" w:vertAnchor="page" w:horzAnchor="margin" w:tblpXSpec="center" w:tblpY="2596"/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200"/>
        <w:gridCol w:w="1200"/>
        <w:gridCol w:w="2100"/>
        <w:gridCol w:w="1200"/>
        <w:gridCol w:w="1200"/>
        <w:gridCol w:w="2680"/>
        <w:gridCol w:w="2060"/>
      </w:tblGrid>
      <w:tr w:rsidR="00F74F81" w:rsidRPr="00F74F81" w14:paraId="30AE76F4" w14:textId="77777777" w:rsidTr="00F74F81">
        <w:trPr>
          <w:trHeight w:val="300"/>
        </w:trPr>
        <w:tc>
          <w:tcPr>
            <w:tcW w:w="372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0CB981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Dépenses d'équipements HTR</w:t>
            </w: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br/>
            </w:r>
            <w:proofErr w:type="spellStart"/>
            <w:r w:rsidRPr="00F74F81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HTR</w:t>
            </w:r>
            <w:proofErr w:type="spellEnd"/>
            <w:r w:rsidRPr="00F74F81">
              <w:rPr>
                <w:rFonts w:eastAsia="Times New Roman" w:cs="Arial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= Hors taxes Récupérables auprès du Trésor Public ou du Fonds de compensation de la Taxe sur la Valeur Ajoutée</w:t>
            </w:r>
          </w:p>
        </w:tc>
        <w:tc>
          <w:tcPr>
            <w:tcW w:w="450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4D95B637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Actions d'animation</w:t>
            </w:r>
          </w:p>
        </w:tc>
        <w:tc>
          <w:tcPr>
            <w:tcW w:w="50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037C4782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Actions de formation - Communication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51CFEC70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 total opération</w:t>
            </w:r>
          </w:p>
        </w:tc>
      </w:tr>
      <w:tr w:rsidR="00F74F81" w:rsidRPr="00F74F81" w14:paraId="2FF6DEF3" w14:textId="77777777" w:rsidTr="00F74F81">
        <w:trPr>
          <w:trHeight w:val="560"/>
        </w:trPr>
        <w:tc>
          <w:tcPr>
            <w:tcW w:w="372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16488E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vAlign w:val="center"/>
            <w:hideMark/>
          </w:tcPr>
          <w:p w14:paraId="61EA4839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vAlign w:val="center"/>
            <w:hideMark/>
          </w:tcPr>
          <w:p w14:paraId="73E1AE56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3EA0E35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 HTR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vAlign w:val="center"/>
            <w:hideMark/>
          </w:tcPr>
          <w:p w14:paraId="352FCF90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vAlign w:val="center"/>
            <w:hideMark/>
          </w:tcPr>
          <w:p w14:paraId="063A85A8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E26364E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 HTR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AFE119F" w14:textId="77777777" w:rsidR="00F74F81" w:rsidRPr="00F74F81" w:rsidRDefault="00F74F81" w:rsidP="00F74F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 HTR</w:t>
            </w:r>
          </w:p>
        </w:tc>
      </w:tr>
      <w:tr w:rsidR="00F74F81" w:rsidRPr="00F74F81" w14:paraId="05B9BB3F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CD3D03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Acquisition de licences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54E6BF5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33466643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ECDD808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29E56D8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1A74D2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A478FBB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1EC79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5B30F127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15118D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Achat matériel informatique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5F327F0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2F3F9BE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64D2338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84CF28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B02424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0B5479B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8C66C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576CF7E8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FA04FC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Achat de mobilier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421E46E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345271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EF9F3C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60AD3C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86AED6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92180A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1350C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200D8CA7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A6F645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E69F888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27074C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F3E2FB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FB89B4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82AB86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9F23DA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547BB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2AAC079C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2D9B397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34CB884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F384FF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E603203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3B6B65F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2234B75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B6B2873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BB06D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099C2F30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4ACC67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347629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349DB84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1B481C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24E4337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1966910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249840B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B9627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7194005A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7CAEFD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F5F2BA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11A496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87F0D4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D2CFEE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23B16BE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FE44D90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085A6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09924F48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5DE6EB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514B0DD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75DFDDE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BE0F98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0D2702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2424C75B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200C35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2479D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239080DB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CF834E7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912612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125E9D7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6889A53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19524F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31B8E427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D156D0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59776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7A4B496F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9AC161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59D95E7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309752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CE08AC0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D37ADF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C19886B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A932073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0C2BC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6FD92087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54D2EC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D090B2B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EFE604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FBFDD0E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E903F73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EDEDEB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71203D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948C2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6F82D6AA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7C1C40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5F89B9B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1A6DA2E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90CE6B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3EFC93D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AC054E7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F860BCB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F378D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439A3944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9722BA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C023F5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D4424D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A458C3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920100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E141A1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43A932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BA65E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6EC47F42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E93CCB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5721F268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C5D5CC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4BCB50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678AD1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E965C3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95CC80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1AB46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4B11CBD1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352F73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20E2FD1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3F13CB0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5607F17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1F8945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86062C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4B9CEC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E460B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21FBE655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4C4F72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3497D8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561D4B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52AA2E3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FB7A49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3325C0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E010EE0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45FCC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6D9A8DAD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7C020D2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0B7FF3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2DC7B708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1C568A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D4C9D3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2F38B867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E07047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3E44F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6211456D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D3A2407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1A84F5E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9D9DB08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5B4AC61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F45E36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7328C6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1942753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862C1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24679849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BA15318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06FD9A2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4A0FD39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C35004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8587503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748DF065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44C39B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F1863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223A2A5B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3549E7FC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Autres dépenses d'équipement</w:t>
            </w:r>
            <w:proofErr w:type="gramStart"/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 xml:space="preserve"> ….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F55829D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3E80B998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B5CE01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50DFDCA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auto"/>
            <w:noWrap/>
            <w:vAlign w:val="center"/>
            <w:hideMark/>
          </w:tcPr>
          <w:p w14:paraId="64CE1F00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52881D10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FD564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  <w:tr w:rsidR="00F74F81" w:rsidRPr="00F74F81" w14:paraId="53943760" w14:textId="77777777" w:rsidTr="00F74F81">
        <w:trPr>
          <w:trHeight w:val="290"/>
        </w:trPr>
        <w:tc>
          <w:tcPr>
            <w:tcW w:w="372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C77B46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Total des dépenses d'équipements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noWrap/>
            <w:vAlign w:val="center"/>
            <w:hideMark/>
          </w:tcPr>
          <w:p w14:paraId="0750E156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noWrap/>
            <w:vAlign w:val="center"/>
            <w:hideMark/>
          </w:tcPr>
          <w:p w14:paraId="44E154C4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37DC9B5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noWrap/>
            <w:vAlign w:val="center"/>
            <w:hideMark/>
          </w:tcPr>
          <w:p w14:paraId="5BAFEACF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thinDiagStripe" w:color="808080" w:fill="F2F2F2"/>
            <w:noWrap/>
            <w:vAlign w:val="center"/>
            <w:hideMark/>
          </w:tcPr>
          <w:p w14:paraId="06D00109" w14:textId="77777777" w:rsidR="00F74F81" w:rsidRPr="00F74F81" w:rsidRDefault="00F74F81" w:rsidP="00F74F8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4C47714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0193F0A" w14:textId="77777777" w:rsidR="00F74F81" w:rsidRPr="00F74F81" w:rsidRDefault="00F74F81" w:rsidP="00F74F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F74F81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</w:tbl>
    <w:p w14:paraId="0E5EC94A" w14:textId="77777777" w:rsidR="00F74F81" w:rsidRPr="00F74F81" w:rsidRDefault="00F74F81" w:rsidP="00F74F81">
      <w:pPr>
        <w:tabs>
          <w:tab w:val="left" w:pos="3567"/>
        </w:tabs>
        <w:rPr>
          <w:sz w:val="20"/>
          <w:szCs w:val="20"/>
        </w:rPr>
      </w:pPr>
    </w:p>
    <w:p w14:paraId="2C11198F" w14:textId="77777777" w:rsidR="00F74F81" w:rsidRPr="00F74F81" w:rsidRDefault="00F74F81" w:rsidP="00F74F81">
      <w:pPr>
        <w:rPr>
          <w:sz w:val="20"/>
          <w:szCs w:val="20"/>
        </w:rPr>
      </w:pPr>
    </w:p>
    <w:p w14:paraId="1BCC6D6F" w14:textId="77777777" w:rsidR="00F74F81" w:rsidRPr="00E9607F" w:rsidRDefault="00F74F81" w:rsidP="00F74F81">
      <w:pPr>
        <w:rPr>
          <w:b/>
          <w:bCs/>
          <w:sz w:val="20"/>
          <w:szCs w:val="20"/>
          <w:u w:val="single"/>
        </w:rPr>
      </w:pPr>
    </w:p>
    <w:p w14:paraId="7B1D84CD" w14:textId="34D84093" w:rsidR="00E9607F" w:rsidRPr="00E9607F" w:rsidRDefault="00E9607F" w:rsidP="00F74F81">
      <w:pPr>
        <w:rPr>
          <w:b/>
          <w:bCs/>
          <w:sz w:val="20"/>
          <w:szCs w:val="20"/>
          <w:u w:val="single"/>
        </w:rPr>
      </w:pPr>
      <w:r w:rsidRPr="00E9607F">
        <w:rPr>
          <w:b/>
          <w:bCs/>
          <w:sz w:val="20"/>
          <w:szCs w:val="20"/>
          <w:u w:val="single"/>
        </w:rPr>
        <w:t xml:space="preserve">Coûts indirects : </w:t>
      </w:r>
    </w:p>
    <w:p w14:paraId="633AF6D5" w14:textId="77777777" w:rsidR="00F74F81" w:rsidRPr="00F74F81" w:rsidRDefault="00F74F81" w:rsidP="00F74F81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279"/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005"/>
        <w:gridCol w:w="1256"/>
        <w:gridCol w:w="1759"/>
        <w:gridCol w:w="1256"/>
        <w:gridCol w:w="1811"/>
        <w:gridCol w:w="776"/>
        <w:gridCol w:w="1492"/>
      </w:tblGrid>
      <w:tr w:rsidR="00E9607F" w:rsidRPr="00E9607F" w14:paraId="686E07C1" w14:textId="77777777" w:rsidTr="00E9607F">
        <w:trPr>
          <w:trHeight w:val="335"/>
        </w:trPr>
        <w:tc>
          <w:tcPr>
            <w:tcW w:w="43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4E13214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indirects</w:t>
            </w:r>
          </w:p>
        </w:tc>
        <w:tc>
          <w:tcPr>
            <w:tcW w:w="40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5E4B0AAC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Actions d'animation</w:t>
            </w:r>
          </w:p>
        </w:tc>
        <w:tc>
          <w:tcPr>
            <w:tcW w:w="3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7FE5476A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Actions de formation - Communication</w:t>
            </w:r>
          </w:p>
        </w:tc>
        <w:tc>
          <w:tcPr>
            <w:tcW w:w="22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DAE9F8"/>
            <w:noWrap/>
            <w:vAlign w:val="center"/>
            <w:hideMark/>
          </w:tcPr>
          <w:p w14:paraId="19F1B308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 total opération</w:t>
            </w:r>
          </w:p>
        </w:tc>
      </w:tr>
      <w:tr w:rsidR="00E9607F" w:rsidRPr="00E9607F" w14:paraId="4DAC94F2" w14:textId="77777777" w:rsidTr="00E9607F">
        <w:trPr>
          <w:trHeight w:val="1252"/>
        </w:trPr>
        <w:tc>
          <w:tcPr>
            <w:tcW w:w="43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2C6CC0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808080" w:fill="F2F2F2"/>
            <w:vAlign w:val="center"/>
            <w:hideMark/>
          </w:tcPr>
          <w:p w14:paraId="2354E256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% déclaré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A7BB5E4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 HTR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808080" w:fill="F2F2F2"/>
            <w:vAlign w:val="center"/>
            <w:hideMark/>
          </w:tcPr>
          <w:p w14:paraId="46FDAB98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% déclaré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CACAFCD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 HTR</w:t>
            </w:r>
          </w:p>
        </w:tc>
        <w:tc>
          <w:tcPr>
            <w:tcW w:w="1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57E10D2F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Coûts liés à l'opération HTR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A960" w14:textId="77777777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B7E5" w14:textId="77777777" w:rsidR="00E9607F" w:rsidRPr="00E9607F" w:rsidRDefault="00E9607F" w:rsidP="00E96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9607F" w:rsidRPr="00E9607F" w14:paraId="19AACA58" w14:textId="77777777" w:rsidTr="00E9607F">
        <w:trPr>
          <w:trHeight w:val="324"/>
        </w:trPr>
        <w:tc>
          <w:tcPr>
            <w:tcW w:w="439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70DAF010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Charges connexes prises en compte à taux forfaitaire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808080" w:fill="auto"/>
            <w:noWrap/>
            <w:vAlign w:val="center"/>
            <w:hideMark/>
          </w:tcPr>
          <w:p w14:paraId="1A388216" w14:textId="48B59F0E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04E34B9B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808080" w:fill="auto"/>
            <w:noWrap/>
            <w:vAlign w:val="center"/>
            <w:hideMark/>
          </w:tcPr>
          <w:p w14:paraId="1ED822F9" w14:textId="197DEC3C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4C25DA2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EEC04" w14:textId="77777777" w:rsidR="00E9607F" w:rsidRPr="00E9607F" w:rsidRDefault="00E9607F" w:rsidP="00E9607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18F6" w14:textId="77777777" w:rsidR="00E9607F" w:rsidRPr="00E9607F" w:rsidRDefault="00E9607F" w:rsidP="00E9607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8875" w14:textId="77777777" w:rsidR="00E9607F" w:rsidRPr="00E9607F" w:rsidRDefault="00E9607F" w:rsidP="00E96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9607F" w:rsidRPr="00E9607F" w14:paraId="68E05E3A" w14:textId="77777777" w:rsidTr="00E9607F">
        <w:trPr>
          <w:trHeight w:val="324"/>
        </w:trPr>
        <w:tc>
          <w:tcPr>
            <w:tcW w:w="439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482163A4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Charges connexes prises en compte à taux forfaitaire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808080" w:fill="auto"/>
            <w:noWrap/>
            <w:vAlign w:val="center"/>
            <w:hideMark/>
          </w:tcPr>
          <w:p w14:paraId="43F863F8" w14:textId="051B86E8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2B1FEF52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808080" w:fill="auto"/>
            <w:noWrap/>
            <w:vAlign w:val="center"/>
            <w:hideMark/>
          </w:tcPr>
          <w:p w14:paraId="032CE88C" w14:textId="62930F2E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AE9AC"/>
            <w:noWrap/>
            <w:vAlign w:val="center"/>
            <w:hideMark/>
          </w:tcPr>
          <w:p w14:paraId="6CE1E879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04AD8" w14:textId="77777777" w:rsidR="00E9607F" w:rsidRPr="00E9607F" w:rsidRDefault="00E9607F" w:rsidP="00E9607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05A0" w14:textId="77777777" w:rsidR="00E9607F" w:rsidRPr="00E9607F" w:rsidRDefault="00E9607F" w:rsidP="00E9607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BE11" w14:textId="77777777" w:rsidR="00E9607F" w:rsidRPr="00E9607F" w:rsidRDefault="00E9607F" w:rsidP="00E960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E9607F" w:rsidRPr="00E9607F" w14:paraId="3BA8B76E" w14:textId="77777777" w:rsidTr="00E9607F">
        <w:trPr>
          <w:trHeight w:val="324"/>
        </w:trPr>
        <w:tc>
          <w:tcPr>
            <w:tcW w:w="439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8BBEED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Total des coûts indirects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808080" w:fill="F2F2F2"/>
            <w:noWrap/>
            <w:vAlign w:val="center"/>
            <w:hideMark/>
          </w:tcPr>
          <w:p w14:paraId="46283422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808080" w:fill="F2F2F2"/>
            <w:noWrap/>
            <w:vAlign w:val="center"/>
            <w:hideMark/>
          </w:tcPr>
          <w:p w14:paraId="0F64D260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9E76513" w14:textId="42CF0419" w:rsidR="00E9607F" w:rsidRPr="00E9607F" w:rsidRDefault="00E9607F" w:rsidP="00E9607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808080" w:fill="F2F2F2"/>
            <w:noWrap/>
            <w:vAlign w:val="center"/>
            <w:hideMark/>
          </w:tcPr>
          <w:p w14:paraId="2D1D4639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808080" w:fill="F2F2F2"/>
            <w:noWrap/>
            <w:vAlign w:val="center"/>
            <w:hideMark/>
          </w:tcPr>
          <w:p w14:paraId="571BB4A6" w14:textId="77777777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CEE2A21" w14:textId="1C1B79E0" w:rsidR="00E9607F" w:rsidRPr="00E9607F" w:rsidRDefault="00E9607F" w:rsidP="00E96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7D32E6C" w14:textId="77777777" w:rsidR="00E9607F" w:rsidRPr="00E9607F" w:rsidRDefault="00E9607F" w:rsidP="00E9607F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9607F">
              <w:rPr>
                <w:rFonts w:eastAsia="Times New Roman" w:cs="Arial"/>
                <w:b/>
                <w:bCs/>
                <w:color w:val="000000"/>
                <w:kern w:val="0"/>
                <w:lang w:eastAsia="fr-FR"/>
                <w14:ligatures w14:val="none"/>
              </w:rPr>
              <w:t>0,00 €</w:t>
            </w:r>
          </w:p>
        </w:tc>
      </w:tr>
    </w:tbl>
    <w:p w14:paraId="1BF59C35" w14:textId="77777777" w:rsidR="00F74F81" w:rsidRPr="00F74F81" w:rsidRDefault="00F74F81" w:rsidP="00F74F81">
      <w:pPr>
        <w:rPr>
          <w:sz w:val="20"/>
          <w:szCs w:val="20"/>
        </w:rPr>
      </w:pPr>
    </w:p>
    <w:p w14:paraId="2E26660E" w14:textId="77777777" w:rsidR="00F74F81" w:rsidRPr="00F74F81" w:rsidRDefault="00F74F81" w:rsidP="00F74F81">
      <w:pPr>
        <w:rPr>
          <w:sz w:val="20"/>
          <w:szCs w:val="20"/>
        </w:rPr>
      </w:pPr>
    </w:p>
    <w:p w14:paraId="5543A9AF" w14:textId="77777777" w:rsidR="00F74F81" w:rsidRPr="00F74F81" w:rsidRDefault="00F74F81" w:rsidP="00F74F81">
      <w:pPr>
        <w:rPr>
          <w:sz w:val="20"/>
          <w:szCs w:val="20"/>
        </w:rPr>
      </w:pPr>
    </w:p>
    <w:p w14:paraId="45132901" w14:textId="77777777" w:rsidR="00F74F81" w:rsidRPr="00F74F81" w:rsidRDefault="00F74F81" w:rsidP="00F74F81">
      <w:pPr>
        <w:rPr>
          <w:sz w:val="20"/>
          <w:szCs w:val="20"/>
        </w:rPr>
      </w:pPr>
    </w:p>
    <w:p w14:paraId="53CA9CD2" w14:textId="77777777" w:rsidR="00F74F81" w:rsidRPr="00F74F81" w:rsidRDefault="00F74F81" w:rsidP="00F74F81">
      <w:pPr>
        <w:rPr>
          <w:sz w:val="20"/>
          <w:szCs w:val="20"/>
        </w:rPr>
      </w:pPr>
    </w:p>
    <w:p w14:paraId="55695DB0" w14:textId="77777777" w:rsidR="00F74F81" w:rsidRPr="00F74F81" w:rsidRDefault="00F74F81" w:rsidP="00F74F81">
      <w:pPr>
        <w:rPr>
          <w:sz w:val="20"/>
          <w:szCs w:val="20"/>
        </w:rPr>
      </w:pPr>
    </w:p>
    <w:p w14:paraId="09EF7F30" w14:textId="77777777" w:rsidR="00F74F81" w:rsidRPr="00F74F81" w:rsidRDefault="00F74F81" w:rsidP="00F74F81">
      <w:pPr>
        <w:rPr>
          <w:sz w:val="20"/>
          <w:szCs w:val="20"/>
        </w:rPr>
      </w:pPr>
    </w:p>
    <w:p w14:paraId="467C51BF" w14:textId="77777777" w:rsidR="00F74F81" w:rsidRPr="00F74F81" w:rsidRDefault="00F74F81" w:rsidP="00F74F81">
      <w:pPr>
        <w:rPr>
          <w:sz w:val="20"/>
          <w:szCs w:val="20"/>
        </w:rPr>
      </w:pPr>
    </w:p>
    <w:sectPr w:rsidR="00F74F81" w:rsidRPr="00F74F81" w:rsidSect="0070065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3DCC" w14:textId="77777777" w:rsidR="00E9607F" w:rsidRDefault="00E9607F" w:rsidP="00E9607F">
      <w:pPr>
        <w:spacing w:after="0" w:line="240" w:lineRule="auto"/>
      </w:pPr>
      <w:r>
        <w:separator/>
      </w:r>
    </w:p>
  </w:endnote>
  <w:endnote w:type="continuationSeparator" w:id="0">
    <w:p w14:paraId="4D2F29B1" w14:textId="77777777" w:rsidR="00E9607F" w:rsidRDefault="00E9607F" w:rsidP="00E9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420304"/>
      <w:docPartObj>
        <w:docPartGallery w:val="Page Numbers (Bottom of Page)"/>
        <w:docPartUnique/>
      </w:docPartObj>
    </w:sdtPr>
    <w:sdtContent>
      <w:p w14:paraId="6C1E054F" w14:textId="6914337E" w:rsidR="00E9607F" w:rsidRDefault="00E9607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9FA48" w14:textId="77777777" w:rsidR="00E9607F" w:rsidRDefault="00E960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3F54" w14:textId="77777777" w:rsidR="00E9607F" w:rsidRDefault="00E9607F" w:rsidP="00E9607F">
      <w:pPr>
        <w:spacing w:after="0" w:line="240" w:lineRule="auto"/>
      </w:pPr>
      <w:r>
        <w:separator/>
      </w:r>
    </w:p>
  </w:footnote>
  <w:footnote w:type="continuationSeparator" w:id="0">
    <w:p w14:paraId="3783C708" w14:textId="77777777" w:rsidR="00E9607F" w:rsidRDefault="00E9607F" w:rsidP="00E96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5A"/>
    <w:rsid w:val="003C29AE"/>
    <w:rsid w:val="004312E3"/>
    <w:rsid w:val="0070065A"/>
    <w:rsid w:val="00922B56"/>
    <w:rsid w:val="00BD286A"/>
    <w:rsid w:val="00C679A3"/>
    <w:rsid w:val="00E03383"/>
    <w:rsid w:val="00E9607F"/>
    <w:rsid w:val="00F74F81"/>
    <w:rsid w:val="00F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DEFE"/>
  <w15:chartTrackingRefBased/>
  <w15:docId w15:val="{D277B67A-D4F8-47DB-9972-E8A29B98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06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0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0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0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0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0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0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06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06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06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065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65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065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9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07F"/>
  </w:style>
  <w:style w:type="paragraph" w:styleId="Pieddepage">
    <w:name w:val="footer"/>
    <w:basedOn w:val="Normal"/>
    <w:link w:val="PieddepageCar"/>
    <w:uiPriority w:val="99"/>
    <w:unhideWhenUsed/>
    <w:rsid w:val="00E96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DAUTRICHE EUGENIE</dc:creator>
  <cp:keywords/>
  <dc:description/>
  <cp:lastModifiedBy>DAUTRICHE EUGENIE</cp:lastModifiedBy>
  <cp:revision>1</cp:revision>
  <dcterms:created xsi:type="dcterms:W3CDTF">2025-09-05T15:21:00Z</dcterms:created>
  <dcterms:modified xsi:type="dcterms:W3CDTF">2025-09-05T15:57:00Z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ce3bfb-fff1-481a-835b-0a342757958d_Enabled">
    <vt:lpwstr>true</vt:lpwstr>
  </property>
  <property fmtid="{D5CDD505-2E9C-101B-9397-08002B2CF9AE}" pid="3" name="MSIP_Label_98ce3bfb-fff1-481a-835b-0a342757958d_SetDate">
    <vt:lpwstr>2025-09-05T15:57:16Z</vt:lpwstr>
  </property>
  <property fmtid="{D5CDD505-2E9C-101B-9397-08002B2CF9AE}" pid="4" name="MSIP_Label_98ce3bfb-fff1-481a-835b-0a342757958d_Method">
    <vt:lpwstr>Standard</vt:lpwstr>
  </property>
  <property fmtid="{D5CDD505-2E9C-101B-9397-08002B2CF9AE}" pid="5" name="MSIP_Label_98ce3bfb-fff1-481a-835b-0a342757958d_Name">
    <vt:lpwstr>C0 - Public</vt:lpwstr>
  </property>
  <property fmtid="{D5CDD505-2E9C-101B-9397-08002B2CF9AE}" pid="6" name="MSIP_Label_98ce3bfb-fff1-481a-835b-0a342757958d_SiteId">
    <vt:lpwstr>cb6c2492-4a85-4b15-85a1-ed94d47e5849</vt:lpwstr>
  </property>
  <property fmtid="{D5CDD505-2E9C-101B-9397-08002B2CF9AE}" pid="7" name="MSIP_Label_98ce3bfb-fff1-481a-835b-0a342757958d_ActionId">
    <vt:lpwstr>c47bdc33-af98-437b-8f14-46c892110413</vt:lpwstr>
  </property>
  <property fmtid="{D5CDD505-2E9C-101B-9397-08002B2CF9AE}" pid="8" name="MSIP_Label_98ce3bfb-fff1-481a-835b-0a342757958d_ContentBits">
    <vt:lpwstr>0</vt:lpwstr>
  </property>
  <property fmtid="{D5CDD505-2E9C-101B-9397-08002B2CF9AE}" pid="9" name="MSIP_Label_98ce3bfb-fff1-481a-835b-0a342757958d_Tag">
    <vt:lpwstr>10, 3, 0, 1</vt:lpwstr>
  </property>
</Properties>
</file>